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E2" w:rsidRDefault="00DD21E2">
      <w:pPr>
        <w:spacing w:after="0" w:line="259" w:lineRule="auto"/>
        <w:ind w:left="77" w:firstLine="0"/>
        <w:jc w:val="center"/>
      </w:pPr>
    </w:p>
    <w:p w:rsidR="00DD21E2" w:rsidRDefault="0077497B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:rsidR="00DD21E2" w:rsidRDefault="0077497B">
      <w:pPr>
        <w:spacing w:after="258" w:line="259" w:lineRule="auto"/>
        <w:ind w:left="77" w:firstLine="0"/>
        <w:jc w:val="center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left="5" w:firstLine="0"/>
        <w:jc w:val="center"/>
      </w:pPr>
      <w:r>
        <w:rPr>
          <w:b/>
          <w:sz w:val="48"/>
        </w:rPr>
        <w:t xml:space="preserve">КОНТРОЛЬНАЯ РАБОТА </w:t>
      </w:r>
    </w:p>
    <w:p w:rsidR="00DD21E2" w:rsidRDefault="0077497B">
      <w:pPr>
        <w:spacing w:after="35" w:line="259" w:lineRule="auto"/>
        <w:ind w:left="13" w:hanging="10"/>
        <w:jc w:val="center"/>
      </w:pPr>
      <w:r>
        <w:rPr>
          <w:b/>
          <w:sz w:val="32"/>
        </w:rPr>
        <w:t xml:space="preserve">ПО ДИСЦИПЛИНЕ </w:t>
      </w:r>
    </w:p>
    <w:p w:rsidR="00DD21E2" w:rsidRDefault="0077497B">
      <w:pPr>
        <w:spacing w:after="0" w:line="259" w:lineRule="auto"/>
        <w:ind w:left="13" w:right="4" w:hanging="10"/>
        <w:jc w:val="center"/>
      </w:pPr>
      <w:r>
        <w:rPr>
          <w:b/>
          <w:sz w:val="32"/>
        </w:rPr>
        <w:t>«ПОЖАРНО-ТЕХНИЧЕСКАЯ ЭКСПЕРТИЗА»</w:t>
      </w: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:rsidR="00DD21E2" w:rsidRDefault="0077497B">
      <w:pPr>
        <w:spacing w:after="27" w:line="259" w:lineRule="auto"/>
        <w:ind w:left="77" w:firstLine="0"/>
        <w:jc w:val="center"/>
      </w:pPr>
      <w:r>
        <w:rPr>
          <w:b/>
        </w:rPr>
        <w:t xml:space="preserve"> </w:t>
      </w:r>
    </w:p>
    <w:p w:rsidR="00DD21E2" w:rsidRDefault="0077497B">
      <w:pPr>
        <w:spacing w:after="0" w:line="269" w:lineRule="auto"/>
        <w:ind w:left="3279" w:right="3264" w:hanging="10"/>
        <w:jc w:val="center"/>
      </w:pPr>
      <w:r>
        <w:rPr>
          <w:b/>
        </w:rPr>
        <w:t xml:space="preserve">Выполнил: </w:t>
      </w:r>
    </w:p>
    <w:p w:rsidR="00DD21E2" w:rsidRDefault="0077497B">
      <w:pPr>
        <w:spacing w:after="0" w:line="269" w:lineRule="auto"/>
        <w:ind w:left="20" w:right="1" w:hanging="10"/>
        <w:jc w:val="center"/>
      </w:pPr>
      <w:r>
        <w:rPr>
          <w:b/>
        </w:rPr>
        <w:t xml:space="preserve">Вариант №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DD21E2" w:rsidRDefault="0077497B">
      <w:pPr>
        <w:spacing w:after="23" w:line="259" w:lineRule="auto"/>
        <w:ind w:firstLine="0"/>
        <w:jc w:val="left"/>
        <w:rPr>
          <w:b/>
        </w:rPr>
      </w:pPr>
      <w:r>
        <w:rPr>
          <w:b/>
        </w:rPr>
        <w:t xml:space="preserve"> </w:t>
      </w:r>
    </w:p>
    <w:p w:rsidR="00A76F0E" w:rsidRDefault="00A76F0E">
      <w:pPr>
        <w:spacing w:after="23" w:line="259" w:lineRule="auto"/>
        <w:ind w:firstLine="0"/>
        <w:jc w:val="left"/>
        <w:rPr>
          <w:b/>
        </w:rPr>
      </w:pPr>
    </w:p>
    <w:p w:rsidR="00A76F0E" w:rsidRDefault="00A76F0E">
      <w:pPr>
        <w:spacing w:after="23" w:line="259" w:lineRule="auto"/>
        <w:ind w:firstLine="0"/>
        <w:jc w:val="left"/>
        <w:rPr>
          <w:b/>
        </w:rPr>
      </w:pPr>
    </w:p>
    <w:p w:rsidR="00A76F0E" w:rsidRDefault="00A76F0E">
      <w:pPr>
        <w:spacing w:after="23" w:line="259" w:lineRule="auto"/>
        <w:ind w:firstLine="0"/>
        <w:jc w:val="left"/>
        <w:rPr>
          <w:b/>
        </w:rPr>
      </w:pPr>
    </w:p>
    <w:p w:rsidR="00A76F0E" w:rsidRDefault="00A76F0E">
      <w:pPr>
        <w:spacing w:after="23" w:line="259" w:lineRule="auto"/>
        <w:ind w:firstLine="0"/>
        <w:jc w:val="left"/>
        <w:rPr>
          <w:b/>
        </w:rPr>
      </w:pPr>
    </w:p>
    <w:p w:rsidR="00A76F0E" w:rsidRDefault="00A76F0E">
      <w:pPr>
        <w:spacing w:after="23" w:line="259" w:lineRule="auto"/>
        <w:ind w:firstLine="0"/>
        <w:jc w:val="left"/>
        <w:rPr>
          <w:b/>
        </w:rPr>
      </w:pPr>
    </w:p>
    <w:p w:rsidR="00A76F0E" w:rsidRDefault="00A76F0E">
      <w:pPr>
        <w:spacing w:after="23" w:line="259" w:lineRule="auto"/>
        <w:ind w:firstLine="0"/>
        <w:jc w:val="left"/>
        <w:rPr>
          <w:b/>
        </w:rPr>
      </w:pPr>
    </w:p>
    <w:p w:rsidR="00A76F0E" w:rsidRDefault="00A76F0E">
      <w:pPr>
        <w:spacing w:after="23" w:line="259" w:lineRule="auto"/>
        <w:ind w:firstLine="0"/>
        <w:jc w:val="left"/>
        <w:rPr>
          <w:b/>
        </w:rPr>
      </w:pPr>
    </w:p>
    <w:p w:rsidR="00A76F0E" w:rsidRDefault="00A76F0E">
      <w:pPr>
        <w:spacing w:after="23" w:line="259" w:lineRule="auto"/>
        <w:ind w:firstLine="0"/>
        <w:jc w:val="left"/>
        <w:rPr>
          <w:b/>
        </w:rPr>
      </w:pPr>
    </w:p>
    <w:p w:rsidR="00A76F0E" w:rsidRDefault="00A76F0E">
      <w:pPr>
        <w:spacing w:after="23" w:line="259" w:lineRule="auto"/>
        <w:ind w:firstLine="0"/>
        <w:jc w:val="left"/>
        <w:rPr>
          <w:b/>
        </w:rPr>
      </w:pPr>
    </w:p>
    <w:p w:rsidR="00A76F0E" w:rsidRDefault="00A76F0E">
      <w:pPr>
        <w:spacing w:after="23" w:line="259" w:lineRule="auto"/>
        <w:ind w:firstLine="0"/>
        <w:jc w:val="left"/>
        <w:rPr>
          <w:b/>
        </w:rPr>
      </w:pPr>
    </w:p>
    <w:p w:rsidR="00A76F0E" w:rsidRDefault="00A76F0E">
      <w:pPr>
        <w:spacing w:after="23" w:line="259" w:lineRule="auto"/>
        <w:ind w:firstLine="0"/>
        <w:jc w:val="left"/>
      </w:pPr>
    </w:p>
    <w:p w:rsidR="00DD21E2" w:rsidRDefault="0077497B">
      <w:pPr>
        <w:spacing w:after="0" w:line="259" w:lineRule="auto"/>
        <w:ind w:firstLine="0"/>
        <w:jc w:val="left"/>
      </w:pPr>
      <w:r>
        <w:tab/>
        <w:t xml:space="preserve"> </w:t>
      </w:r>
    </w:p>
    <w:p w:rsidR="00DD21E2" w:rsidRDefault="0077497B">
      <w:pPr>
        <w:pStyle w:val="2"/>
        <w:ind w:left="20" w:right="1"/>
      </w:pPr>
      <w:r>
        <w:lastRenderedPageBreak/>
        <w:t xml:space="preserve">Содержание </w:t>
      </w:r>
    </w:p>
    <w:sdt>
      <w:sdtPr>
        <w:id w:val="1442642303"/>
        <w:docPartObj>
          <w:docPartGallery w:val="Table of Contents"/>
        </w:docPartObj>
      </w:sdtPr>
      <w:sdtEndPr/>
      <w:sdtContent>
        <w:p w:rsidR="00DD21E2" w:rsidRDefault="0077497B">
          <w:pPr>
            <w:pStyle w:val="11"/>
            <w:tabs>
              <w:tab w:val="right" w:leader="dot" w:pos="9576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1779">
            <w:r>
              <w:t>Введение</w:t>
            </w:r>
            <w:r>
              <w:tab/>
            </w:r>
            <w:r>
              <w:fldChar w:fldCharType="begin"/>
            </w:r>
            <w:r>
              <w:instrText>PAGEREF _Toc11779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DD21E2" w:rsidRDefault="0077497B">
          <w:pPr>
            <w:pStyle w:val="11"/>
            <w:tabs>
              <w:tab w:val="right" w:leader="dot" w:pos="9576"/>
            </w:tabs>
          </w:pPr>
          <w:hyperlink w:anchor="_Toc11780">
            <w:r>
              <w:t>Вопрос. Использование хроматографических методов в экспертизе пожаров</w:t>
            </w:r>
            <w:r>
              <w:tab/>
            </w:r>
            <w:r>
              <w:fldChar w:fldCharType="begin"/>
            </w:r>
            <w:r>
              <w:instrText>PAGEREF _Toc11780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DD21E2" w:rsidRDefault="0077497B">
          <w:pPr>
            <w:pStyle w:val="11"/>
            <w:tabs>
              <w:tab w:val="right" w:leader="dot" w:pos="9576"/>
            </w:tabs>
          </w:pPr>
          <w:hyperlink w:anchor="_Toc11781">
            <w:r>
              <w:t>Практическое задание 1. Исследование методом газожидкостной хроматографии</w:t>
            </w:r>
            <w:r>
              <w:tab/>
            </w:r>
            <w:r>
              <w:fldChar w:fldCharType="begin"/>
            </w:r>
            <w:r>
              <w:instrText>PAGEREF _Toc11781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DD21E2" w:rsidRDefault="0077497B">
          <w:pPr>
            <w:pStyle w:val="11"/>
            <w:tabs>
              <w:tab w:val="right" w:leader="dot" w:pos="9576"/>
            </w:tabs>
          </w:pPr>
          <w:hyperlink w:anchor="_Toc11782">
            <w:r>
              <w:t>Практическое задание 2. Определение мом</w:t>
            </w:r>
            <w:r>
              <w:t>ента короткого замыкания оплавлений медных проводников методом рентгеноструктурного анализа</w:t>
            </w:r>
            <w:r>
              <w:tab/>
            </w:r>
            <w:r>
              <w:fldChar w:fldCharType="begin"/>
            </w:r>
            <w:r>
              <w:instrText>PAGEREF _Toc11782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:rsidR="00DD21E2" w:rsidRDefault="0077497B">
          <w:pPr>
            <w:pStyle w:val="11"/>
            <w:tabs>
              <w:tab w:val="right" w:leader="dot" w:pos="9576"/>
            </w:tabs>
          </w:pPr>
          <w:hyperlink w:anchor="_Toc11783">
            <w:r>
              <w:t>Заключение</w:t>
            </w:r>
            <w:r>
              <w:tab/>
            </w:r>
            <w:r>
              <w:fldChar w:fldCharType="begin"/>
            </w:r>
            <w:r>
              <w:instrText>PAGEREF _Toc11783 \h</w:instrText>
            </w:r>
            <w:r>
              <w:fldChar w:fldCharType="separate"/>
            </w:r>
            <w:r>
              <w:t xml:space="preserve">12 </w:t>
            </w:r>
            <w:r>
              <w:fldChar w:fldCharType="end"/>
            </w:r>
          </w:hyperlink>
        </w:p>
        <w:p w:rsidR="00DD21E2" w:rsidRDefault="0077497B">
          <w:pPr>
            <w:pStyle w:val="11"/>
            <w:tabs>
              <w:tab w:val="right" w:leader="dot" w:pos="9576"/>
            </w:tabs>
          </w:pPr>
          <w:hyperlink w:anchor="_Toc11784">
            <w:r>
              <w:t>Список использованной литературы</w:t>
            </w:r>
            <w:r>
              <w:tab/>
            </w:r>
            <w:r>
              <w:fldChar w:fldCharType="begin"/>
            </w:r>
            <w:r>
              <w:instrText>PAGEREF _Toc11784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:rsidR="00DD21E2" w:rsidRDefault="0077497B">
          <w:r>
            <w:fldChar w:fldCharType="end"/>
          </w:r>
        </w:p>
      </w:sdtContent>
    </w:sdt>
    <w:p w:rsidR="00DD21E2" w:rsidRDefault="0077497B">
      <w:pPr>
        <w:spacing w:after="0" w:line="259" w:lineRule="auto"/>
        <w:ind w:firstLine="0"/>
        <w:jc w:val="left"/>
      </w:pPr>
      <w:r>
        <w:t xml:space="preserve"> </w:t>
      </w:r>
    </w:p>
    <w:p w:rsidR="00DD21E2" w:rsidRDefault="0077497B">
      <w:pPr>
        <w:spacing w:after="0" w:line="259" w:lineRule="auto"/>
        <w:ind w:firstLine="0"/>
        <w:jc w:val="left"/>
      </w:pPr>
      <w:r>
        <w:t xml:space="preserve"> </w:t>
      </w:r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:rsidR="00DD21E2" w:rsidRDefault="0077497B">
      <w:pPr>
        <w:pStyle w:val="1"/>
        <w:ind w:left="20" w:right="5"/>
      </w:pPr>
      <w:bookmarkStart w:id="0" w:name="_Toc11779"/>
      <w:r>
        <w:lastRenderedPageBreak/>
        <w:t xml:space="preserve">Введение </w:t>
      </w:r>
      <w:bookmarkEnd w:id="0"/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100" w:right="98"/>
      </w:pPr>
      <w:r>
        <w:t>В процессе раскрытия и расследования преступлении и при судебном разбирательстве постоянно возникает необходимость решения вопросов, требующих профессиональных</w:t>
      </w:r>
      <w:r>
        <w:t xml:space="preserve"> знаний в различных отраслях науки, техники, искусства и ремесла. В таких случаях следователи, судьи обращаются к лицам, располагающим такими знаниями, именуемыми специальными. </w:t>
      </w:r>
    </w:p>
    <w:p w:rsidR="00DD21E2" w:rsidRDefault="0077497B">
      <w:pPr>
        <w:ind w:left="100" w:right="98"/>
      </w:pPr>
      <w:r>
        <w:t>Сотрудники испытательных пожарных лабораторий в своей деятельности должны быть</w:t>
      </w:r>
      <w:r>
        <w:t xml:space="preserve"> компетентны при: </w:t>
      </w:r>
    </w:p>
    <w:p w:rsidR="00DD21E2" w:rsidRDefault="0077497B">
      <w:pPr>
        <w:numPr>
          <w:ilvl w:val="0"/>
          <w:numId w:val="1"/>
        </w:numPr>
        <w:ind w:right="98"/>
      </w:pPr>
      <w:r>
        <w:t xml:space="preserve">исследовании признаков теплового воздействия на конструкции, оборудование и материалы при пожаре с целью установления места возникновения горения (очага пожара); </w:t>
      </w:r>
    </w:p>
    <w:p w:rsidR="00DD21E2" w:rsidRDefault="0077497B">
      <w:pPr>
        <w:numPr>
          <w:ilvl w:val="0"/>
          <w:numId w:val="1"/>
        </w:numPr>
        <w:ind w:right="98"/>
      </w:pPr>
      <w:r>
        <w:t xml:space="preserve">определении действительных (непосредственных) причин, условий и времени возникновения горения; </w:t>
      </w:r>
    </w:p>
    <w:p w:rsidR="00DD21E2" w:rsidRDefault="0077497B">
      <w:pPr>
        <w:numPr>
          <w:ilvl w:val="0"/>
          <w:numId w:val="1"/>
        </w:numPr>
        <w:ind w:right="98"/>
      </w:pPr>
      <w:r>
        <w:t xml:space="preserve">исследовании условий и особенностей развития горения при пожаре (горение предметов, материалов, конструкций зданий и сооружений, </w:t>
      </w:r>
    </w:p>
    <w:p w:rsidR="00DD21E2" w:rsidRDefault="0077497B">
      <w:pPr>
        <w:ind w:left="100" w:right="98" w:firstLine="0"/>
      </w:pPr>
      <w:r>
        <w:t xml:space="preserve">различных объектов и т. д.); </w:t>
      </w:r>
    </w:p>
    <w:p w:rsidR="00DD21E2" w:rsidRDefault="0077497B">
      <w:pPr>
        <w:numPr>
          <w:ilvl w:val="0"/>
          <w:numId w:val="1"/>
        </w:numPr>
        <w:ind w:right="98"/>
      </w:pPr>
      <w:r>
        <w:t xml:space="preserve">определении условий, средств, способов и особенностей подавления процессов горения на пожарах (тактические методы и приемы пожаротушения, боевое использование пожарной техники); </w:t>
      </w:r>
    </w:p>
    <w:p w:rsidR="00DD21E2" w:rsidRDefault="0077497B">
      <w:pPr>
        <w:numPr>
          <w:ilvl w:val="0"/>
          <w:numId w:val="1"/>
        </w:numPr>
        <w:ind w:right="98"/>
      </w:pPr>
      <w:r>
        <w:t>установлении имевших место нарушений правил пожарной безопасности, определени</w:t>
      </w:r>
      <w:r>
        <w:t xml:space="preserve">е причинной связи между этими нарушениями, возникновением пожара и его последствиями; </w:t>
      </w:r>
    </w:p>
    <w:p w:rsidR="00DD21E2" w:rsidRDefault="0077497B">
      <w:pPr>
        <w:numPr>
          <w:ilvl w:val="0"/>
          <w:numId w:val="1"/>
        </w:numPr>
        <w:ind w:right="98"/>
      </w:pPr>
      <w:r>
        <w:t xml:space="preserve">определении причастности следов короткого замыкания в электроприборах и электросетях к факту возникновения пожара на объекте. </w:t>
      </w:r>
    </w:p>
    <w:p w:rsidR="00DD21E2" w:rsidRDefault="0077497B">
      <w:pPr>
        <w:ind w:left="100" w:right="98"/>
      </w:pPr>
      <w:r>
        <w:t>В ходе выполнения данной работы предполага</w:t>
      </w:r>
      <w:r>
        <w:t xml:space="preserve">ется формирование вышеуказанных компетенций. </w:t>
      </w:r>
    </w:p>
    <w:p w:rsidR="00DD21E2" w:rsidRDefault="0077497B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</w:p>
    <w:p w:rsidR="00DD21E2" w:rsidRDefault="0077497B">
      <w:pPr>
        <w:pStyle w:val="1"/>
        <w:ind w:left="20" w:right="10"/>
      </w:pPr>
      <w:bookmarkStart w:id="1" w:name="_Toc11780"/>
      <w:r>
        <w:t xml:space="preserve">Вопрос. Использование хроматографических методов в экспертизе пожаров </w:t>
      </w:r>
      <w:bookmarkEnd w:id="1"/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100" w:right="98"/>
      </w:pPr>
      <w:r>
        <w:t xml:space="preserve">Виды хроматографии. Обнаружение и исследование остатков нефтепродуктов методом ГЖХ. Подготовка образцов для исследования. </w:t>
      </w:r>
    </w:p>
    <w:p w:rsidR="00DD21E2" w:rsidRDefault="0077497B">
      <w:pPr>
        <w:ind w:left="100" w:right="98"/>
      </w:pPr>
      <w:r>
        <w:t>Хроматогр</w:t>
      </w:r>
      <w:r>
        <w:t>афия — метод разделения и анализа смесей веществ, а также изучения физико-химических свойств веществ. Основан на распределении веществ между двумя фазами — неподвижной (твёрдая фаза или жидкость, связанная на инертном носителе) и подвижной (газовая или жид</w:t>
      </w:r>
      <w:r>
        <w:t xml:space="preserve">кая фаза, элюент). </w:t>
      </w:r>
    </w:p>
    <w:p w:rsidR="00DD21E2" w:rsidRDefault="0077497B">
      <w:pPr>
        <w:ind w:left="100" w:right="98"/>
      </w:pPr>
      <w:r>
        <w:lastRenderedPageBreak/>
        <w:t xml:space="preserve">Существуют различные способы классификации хроматографических методов. </w:t>
      </w:r>
    </w:p>
    <w:p w:rsidR="00DD21E2" w:rsidRDefault="0077497B">
      <w:pPr>
        <w:ind w:left="823" w:right="98" w:firstLine="0"/>
      </w:pPr>
      <w:r>
        <w:t xml:space="preserve">По физической природе неподвижной и подвижной фаз: </w:t>
      </w:r>
    </w:p>
    <w:p w:rsidR="00DD21E2" w:rsidRDefault="0077497B">
      <w:pPr>
        <w:ind w:left="823" w:right="98" w:firstLine="0"/>
      </w:pPr>
      <w:r>
        <w:t xml:space="preserve">Жидкостная хроматография (если подвижная фаза жидкая). </w:t>
      </w:r>
    </w:p>
    <w:p w:rsidR="00DD21E2" w:rsidRDefault="0077497B">
      <w:pPr>
        <w:ind w:left="100" w:right="98"/>
      </w:pPr>
      <w:r>
        <w:t>Жидкостную хроматографию, в свою очередь, можно разделит</w:t>
      </w:r>
      <w:r>
        <w:t xml:space="preserve">ь в зависимости от агрегатного состояния неподвижной фазы на твёрдожидкофазную (ТЖХ) — неподвижная фаза твёрдая и жидко-жидкофазную хроматографию (ЖЖХ) — неподвижная фаза жидкая. ЖЖХ часто называют распределительной хроматографией. </w:t>
      </w:r>
    </w:p>
    <w:p w:rsidR="00DD21E2" w:rsidRDefault="0077497B">
      <w:pPr>
        <w:ind w:left="823" w:right="98" w:firstLine="0"/>
      </w:pPr>
      <w:r>
        <w:t>Газовая хроматография (</w:t>
      </w:r>
      <w:r>
        <w:t xml:space="preserve">если подвижная фаза газообразная). </w:t>
      </w:r>
    </w:p>
    <w:p w:rsidR="00DD21E2" w:rsidRDefault="0077497B">
      <w:pPr>
        <w:ind w:left="100" w:right="98"/>
      </w:pPr>
      <w:r>
        <w:t xml:space="preserve">Газовую хроматографию в зависимости от агрегатного состояния неподвижной фазы делят на газоадсорбционную (ГТХ, ГАХ) и газожидкостную (ГЖХ) или газораспределительную. </w:t>
      </w:r>
    </w:p>
    <w:p w:rsidR="00DD21E2" w:rsidRDefault="0077497B">
      <w:pPr>
        <w:ind w:left="823" w:right="98" w:firstLine="0"/>
      </w:pPr>
      <w:r>
        <w:t>В зависимости от способа перемещения сорбатов вдоль с</w:t>
      </w:r>
      <w:r>
        <w:t xml:space="preserve">лоя сорбента: </w:t>
      </w:r>
    </w:p>
    <w:p w:rsidR="00DD21E2" w:rsidRDefault="0077497B">
      <w:pPr>
        <w:ind w:left="100" w:right="98"/>
      </w:pPr>
      <w:r>
        <w:t>Проявительный (элюентный) - при его использовании пробу исследуемой смеси вводят порцией в начальной точке (на входе в колонку) в разделительную насадку (сорбент). Под действием потока подвижной фазы зона пробы перемещается вдоль колонки, пр</w:t>
      </w:r>
      <w:r>
        <w:t xml:space="preserve">ичём скорости перемещения отдельных компонентов пробы обратно пропорциональны величинам соответствующих им констант распределения. </w:t>
      </w:r>
    </w:p>
    <w:p w:rsidR="00DD21E2" w:rsidRDefault="0077497B">
      <w:pPr>
        <w:ind w:left="100" w:right="98"/>
      </w:pPr>
      <w:r>
        <w:t>Фронтальный - при этом разделяемая смесь непрерывно поступает на слой сорбента в начальной точке и, таким образом, фактическ</w:t>
      </w:r>
      <w:r>
        <w:t xml:space="preserve">и играет роль подвижной фазы. </w:t>
      </w:r>
    </w:p>
    <w:p w:rsidR="00DD21E2" w:rsidRDefault="0077497B">
      <w:pPr>
        <w:ind w:left="100" w:right="98"/>
      </w:pPr>
      <w:r>
        <w:t>Вытеснительный - методика проведения разделения вытеснительным методом аналогична методике проведения разделения проявительным методом, но без использования несорбирующегося элюента (подвижной фазы). Перемещение хроматографич</w:t>
      </w:r>
      <w:r>
        <w:t xml:space="preserve">еских зон достигается путём вытеснения компонентов разделяемой смеси веществом, которое сорбирует сильнее любого из этих компонентов. Каждый компонент этой пробы вытесняет компоненты, которые взаимодействуют с неподвижной фазой менее сильно, чем он сам. </w:t>
      </w:r>
    </w:p>
    <w:p w:rsidR="00DD21E2" w:rsidRDefault="0077497B">
      <w:pPr>
        <w:ind w:left="100" w:right="98"/>
      </w:pPr>
      <w:r>
        <w:t>Э</w:t>
      </w:r>
      <w:r>
        <w:t xml:space="preserve">лектрохроматография - хроматографический процесс, при котором движение заряженных частиц осуществляется под действием приложенного электрического поля. Скорость движения частиц определяется их массой и зарядом. </w:t>
      </w:r>
    </w:p>
    <w:p w:rsidR="00DD21E2" w:rsidRDefault="0077497B">
      <w:pPr>
        <w:ind w:left="100" w:right="98"/>
      </w:pPr>
      <w:r>
        <w:t xml:space="preserve">Для аналитических целей наиболее широко используется элюентный (проявительный) метод хроматографирования. </w:t>
      </w:r>
    </w:p>
    <w:p w:rsidR="00DD21E2" w:rsidRDefault="0077497B">
      <w:pPr>
        <w:ind w:left="823" w:right="98" w:firstLine="0"/>
      </w:pPr>
      <w:r>
        <w:t xml:space="preserve">В зависимости от механизма сорбции. </w:t>
      </w:r>
    </w:p>
    <w:p w:rsidR="00DD21E2" w:rsidRDefault="0077497B">
      <w:pPr>
        <w:ind w:left="100" w:right="98"/>
      </w:pPr>
      <w:r>
        <w:lastRenderedPageBreak/>
        <w:t>Хроматография подразделяется на молекулярную, ситовую, хемосорбционную и ионообменную. В молекулярной хроматогра</w:t>
      </w:r>
      <w:r>
        <w:t xml:space="preserve">фии природой сил взаимодействия между неподвижной фазой (сорбентом) и компонентами разделяемой смеси являются межмолекулярные силы типа сил Ван-дер-Ваальса. </w:t>
      </w:r>
    </w:p>
    <w:p w:rsidR="00DD21E2" w:rsidRDefault="0077497B">
      <w:pPr>
        <w:ind w:left="100" w:right="98"/>
      </w:pPr>
      <w:r>
        <w:t>К хемосорбционной хроматографии относят осадочную, комплексообразовательную (или лигандообменную),</w:t>
      </w:r>
      <w:r>
        <w:t xml:space="preserve"> окислительновосстановительную. Причиной сорбции в хемосорбционной хроматографии являются соответствующие химические реакции. </w:t>
      </w:r>
    </w:p>
    <w:p w:rsidR="00DD21E2" w:rsidRDefault="0077497B">
      <w:pPr>
        <w:ind w:left="100" w:right="98"/>
      </w:pPr>
      <w:r>
        <w:t xml:space="preserve">По технике выполнения (характеру процесса) разделяют хроматографию на: </w:t>
      </w:r>
    </w:p>
    <w:p w:rsidR="00DD21E2" w:rsidRDefault="0077497B">
      <w:pPr>
        <w:ind w:left="823" w:right="98" w:firstLine="0"/>
      </w:pPr>
      <w:r>
        <w:t xml:space="preserve">Колоночную (неподвижная фаза находится в колонке). </w:t>
      </w:r>
    </w:p>
    <w:p w:rsidR="00DD21E2" w:rsidRDefault="0077497B">
      <w:pPr>
        <w:tabs>
          <w:tab w:val="center" w:pos="1637"/>
          <w:tab w:val="center" w:pos="3617"/>
          <w:tab w:val="center" w:pos="4927"/>
          <w:tab w:val="center" w:pos="6116"/>
          <w:tab w:val="center" w:pos="7240"/>
          <w:tab w:val="right" w:pos="9576"/>
        </w:tabs>
        <w:spacing w:after="2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Плос</w:t>
      </w:r>
      <w:r>
        <w:t xml:space="preserve">костную </w:t>
      </w:r>
      <w:r>
        <w:tab/>
        <w:t xml:space="preserve">(планарную) </w:t>
      </w:r>
      <w:r>
        <w:tab/>
        <w:t xml:space="preserve">— </w:t>
      </w:r>
      <w:r>
        <w:tab/>
        <w:t xml:space="preserve">бумажную </w:t>
      </w:r>
      <w:r>
        <w:tab/>
        <w:t xml:space="preserve">и </w:t>
      </w:r>
      <w:r>
        <w:tab/>
        <w:t xml:space="preserve">тонкослойную </w:t>
      </w:r>
    </w:p>
    <w:p w:rsidR="00DD21E2" w:rsidRDefault="0077497B">
      <w:pPr>
        <w:ind w:left="100" w:right="98" w:firstLine="0"/>
      </w:pPr>
      <w:r>
        <w:t xml:space="preserve">(неподвижная фаза — лист бумаги или тонкий слой сорбента на стеклянной или металлической пластинке) </w:t>
      </w:r>
    </w:p>
    <w:p w:rsidR="00DD21E2" w:rsidRDefault="0077497B">
      <w:pPr>
        <w:ind w:left="100" w:right="98"/>
      </w:pPr>
      <w:r>
        <w:t>Капиллярную (разделение происходит в плёнке жидкости или слое сорбента, размещённом на внутренней стенк</w:t>
      </w:r>
      <w:r>
        <w:t xml:space="preserve">е трубки) </w:t>
      </w:r>
    </w:p>
    <w:p w:rsidR="00DD21E2" w:rsidRDefault="0077497B">
      <w:pPr>
        <w:ind w:left="100" w:right="98"/>
      </w:pPr>
      <w:r>
        <w:t xml:space="preserve">Хроматографию в полях (электрических, магнитных, центробежных и других сил). </w:t>
      </w:r>
    </w:p>
    <w:p w:rsidR="00DD21E2" w:rsidRDefault="0077497B">
      <w:pPr>
        <w:ind w:left="100" w:right="98"/>
      </w:pPr>
      <w:r>
        <w:t>Для установления типа, марки, а иногда и конкретной принадлежности сложных органических смесей нефтяного типа используют метод газожидкостной хроматографии. Характерны</w:t>
      </w:r>
      <w:r>
        <w:t xml:space="preserve">е особенности состава различных нефтепродуктов, выявляемые данным методом, настолько индивидуальны, что позволяют четко диагностировать, а иногда и идентифицировать исследуемые следы органических жидкостей даже без применения проб сравнения. В то же время </w:t>
      </w:r>
      <w:r>
        <w:t>по пределу обнаружения газожидкостная хроматография уступает методу люминесцентной спектроскопии, особенно при исследовании деградированных остатков светлых нефтепродуктов. Наибольшие возможности дает метод ГЖХ при анализе светлых нефтепродуктов, представл</w:t>
      </w:r>
      <w:r>
        <w:t>яющих собой смеси углеводородов. Для них можно однозначно установить фракционный состав смеси по температурам кипения начального и конечного компонента в гомологическом ряду нормальных алканов, а по распределению других углеводородов можно устанавливать ти</w:t>
      </w:r>
      <w:r>
        <w:t>п, марку, групповую принадлежность горючей жидкости. Другим важнейшим направлением применения газовой хроматографии является изучение органического вещества природной среды, которое с успехом может быть использовано в экологической и почвоведческой эксперт</w:t>
      </w:r>
      <w:r>
        <w:t xml:space="preserve">изах. В этом случае изучаются, так называемые «унаследованные структуры» или «хемофоссилии», ведущие свою историю от живого вещества. Распределение </w:t>
      </w:r>
      <w:r>
        <w:lastRenderedPageBreak/>
        <w:t>этих структур очень специфично для различных типов природного органического вещества. Метод газожидкостной х</w:t>
      </w:r>
      <w:r>
        <w:t xml:space="preserve">роматографии рационально применять в тех случаях, когда другие, более экспрессные и простые методы анализа не могут дать однозначной диагностики изучаемых объектов. </w:t>
      </w:r>
    </w:p>
    <w:p w:rsidR="00DD21E2" w:rsidRDefault="0077497B">
      <w:pPr>
        <w:ind w:left="823" w:right="98" w:firstLine="0"/>
      </w:pPr>
      <w:r>
        <w:t xml:space="preserve">Общая аналитическая схема исследования представлена на рисунке 1. </w:t>
      </w:r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spacing w:after="0" w:line="259" w:lineRule="auto"/>
        <w:ind w:left="0" w:right="1376" w:firstLine="0"/>
        <w:jc w:val="right"/>
      </w:pPr>
      <w:r>
        <w:rPr>
          <w:noProof/>
        </w:rPr>
        <w:drawing>
          <wp:inline distT="0" distB="0" distL="0" distR="0">
            <wp:extent cx="4289672" cy="4156881"/>
            <wp:effectExtent l="0" t="0" r="0" b="0"/>
            <wp:docPr id="476" name="Picture 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Picture 4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9672" cy="415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D21E2" w:rsidRDefault="0077497B">
      <w:pPr>
        <w:spacing w:after="7" w:line="269" w:lineRule="auto"/>
        <w:ind w:left="13" w:right="3" w:hanging="10"/>
        <w:jc w:val="center"/>
      </w:pPr>
      <w:r>
        <w:rPr>
          <w:sz w:val="24"/>
        </w:rPr>
        <w:t xml:space="preserve">Рисунок 1. Система экспертно-криминалистического исследования следов нефтепродуктов, используемая при проведении различных классов судебных экспертиз </w:t>
      </w:r>
    </w:p>
    <w:p w:rsidR="00DD21E2" w:rsidRDefault="0077497B">
      <w:pPr>
        <w:spacing w:after="26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100" w:right="98"/>
      </w:pPr>
      <w:r>
        <w:t>Выделение остатков ЛВЖ, ГЖ из объектов-носителей изъятых на месте пожара проводится в основном экстракц</w:t>
      </w:r>
      <w:r>
        <w:t>ионными методами. Следы ЛВЖ и ГЖ из объектов-носителей извлекают путем их растворения в органическом растворителе - экстрагенте. Экстрагенты применяемые для этих целей должны обладать высокой растворяющей способностью, эффективно извлекать остатки ЛВЖ и ГЖ</w:t>
      </w:r>
      <w:r>
        <w:t xml:space="preserve"> при минимальном растворении компонентов объекта-носителя и продуктов его термической деструкции. Если учитывать, что чаше всего средствами поджога являются светлые нефтепродукты (СНП), то таким требованиям соответствуют обычно применяемые растворители - п</w:t>
      </w:r>
      <w:r>
        <w:t xml:space="preserve">ентан и гексан. Гексан, используемый в качестве экстрагента должен иметь марку ХЧ или ЧДА (ОСЧ). </w:t>
      </w:r>
    </w:p>
    <w:p w:rsidR="00DD21E2" w:rsidRDefault="0077497B">
      <w:pPr>
        <w:ind w:left="100" w:right="98"/>
      </w:pPr>
      <w:r>
        <w:lastRenderedPageBreak/>
        <w:t>Контроль чистоты осуществляется предварительным газохроматографическим анализом. Хроматограмма растворителя хранится в базе данных и используется при расшифро</w:t>
      </w:r>
      <w:r>
        <w:t xml:space="preserve">вке полученных хроматограмм. </w:t>
      </w:r>
    </w:p>
    <w:p w:rsidR="00DD21E2" w:rsidRDefault="0077497B">
      <w:pPr>
        <w:spacing w:after="26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100" w:right="98"/>
      </w:pPr>
      <w:r>
        <w:t>Необходимо отметить, что объекты-носители, поступившие с места пожара, как правило, находятся во влажном состоянии. Однако присутствие воды в объектах не снижает эффективности извлечения остатков ЛВЖ и ГЖ. Извлечение остатко</w:t>
      </w:r>
      <w:r>
        <w:t xml:space="preserve">в ЛВЖ и ГЖ из проб, поступивших с места пожара, осуществляют как периодическим, так и непрерывным способом экстрагирования. </w:t>
      </w:r>
    </w:p>
    <w:p w:rsidR="00DD21E2" w:rsidRDefault="0077497B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:rsidR="00DD21E2" w:rsidRDefault="0077497B">
      <w:pPr>
        <w:pStyle w:val="1"/>
        <w:ind w:left="3799" w:hanging="3125"/>
        <w:jc w:val="left"/>
      </w:pPr>
      <w:bookmarkStart w:id="2" w:name="_Toc11781"/>
      <w:r>
        <w:lastRenderedPageBreak/>
        <w:t xml:space="preserve">Практическое задание 1. Исследование методом газожидкостной хроматографии </w:t>
      </w:r>
      <w:bookmarkEnd w:id="2"/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100" w:right="98"/>
      </w:pPr>
      <w:r>
        <w:t xml:space="preserve">Определите смесь веществ по результатам исследования хроматограммы представленной на рисунке 2. Ответ обоснуйте. </w:t>
      </w:r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914952" cy="4439882"/>
            <wp:effectExtent l="0" t="0" r="0" b="0"/>
            <wp:docPr id="624" name="Picture 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Picture 6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4952" cy="443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D21E2" w:rsidRDefault="0077497B">
      <w:pPr>
        <w:spacing w:after="7" w:line="269" w:lineRule="auto"/>
        <w:ind w:left="13" w:hanging="10"/>
        <w:jc w:val="center"/>
      </w:pPr>
      <w:r>
        <w:rPr>
          <w:sz w:val="24"/>
        </w:rPr>
        <w:t xml:space="preserve">Рисунок 2. Хроматограмма. </w:t>
      </w:r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spacing w:after="22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823" w:right="98" w:firstLine="0"/>
      </w:pPr>
      <w:r>
        <w:t xml:space="preserve">Решение: </w:t>
      </w:r>
    </w:p>
    <w:p w:rsidR="00DD21E2" w:rsidRDefault="0077497B">
      <w:pPr>
        <w:ind w:left="100" w:right="98"/>
      </w:pPr>
      <w:r>
        <w:t>На хроматограмме видны характерные пики смеси «алканов» и «аренов»: толуол; этилбензол; о-, п-</w:t>
      </w:r>
      <w:r>
        <w:t xml:space="preserve">, м-ксилолы; изопропилбензол; пропилбензол; 1-метил-3(4)этилбензол; 1-метил-2-этилбензол; 1, 2, 4триметилбензол; 1, 2, 3-триметилбензол; додекан; 1, 2, 4, 5тетраметилбензол; 1, 2, 3, 5-тетраметилбензол. </w:t>
      </w:r>
    </w:p>
    <w:p w:rsidR="00DD21E2" w:rsidRDefault="0077497B">
      <w:pPr>
        <w:ind w:left="100" w:right="98"/>
      </w:pPr>
      <w:r>
        <w:t>При сравнении с эталонными образцами смесь веществ (</w:t>
      </w:r>
      <w:r>
        <w:t>толуол, этилбензол, о-, п-, м-ксилолы) используется при расшифровке хроматограмм бензинов разных марок, а также присутствие смеси «аренов» (изопропилбензол; пропилбензол; 1-метил-3(4)этилбензол; 1-метил-2этилбензол; 1, 2, 4-триметилбензол; 1, 2, 3-триметил</w:t>
      </w:r>
      <w:r>
        <w:t xml:space="preserve">бензол; додекан; 1, 2, 4, </w:t>
      </w:r>
    </w:p>
    <w:p w:rsidR="00DD21E2" w:rsidRDefault="0077497B">
      <w:pPr>
        <w:ind w:left="100" w:right="98" w:firstLine="0"/>
      </w:pPr>
      <w:r>
        <w:lastRenderedPageBreak/>
        <w:t xml:space="preserve">5-тетраметилбензол; </w:t>
      </w:r>
      <w:r>
        <w:tab/>
        <w:t xml:space="preserve">1, </w:t>
      </w:r>
      <w:r>
        <w:tab/>
        <w:t xml:space="preserve">2, </w:t>
      </w:r>
      <w:r>
        <w:tab/>
        <w:t xml:space="preserve">3, </w:t>
      </w:r>
      <w:r>
        <w:tab/>
        <w:t xml:space="preserve">5-тетраметилбензол). </w:t>
      </w:r>
      <w:r>
        <w:tab/>
        <w:t xml:space="preserve">В </w:t>
      </w:r>
      <w:r>
        <w:tab/>
        <w:t xml:space="preserve">смеси </w:t>
      </w:r>
      <w:r>
        <w:tab/>
        <w:t xml:space="preserve">также присутствуют «алканы»: додекан, который также используются при анализе бензинов и растворителей на основе бензина. </w:t>
      </w:r>
    </w:p>
    <w:p w:rsidR="00DD21E2" w:rsidRDefault="0077497B">
      <w:pPr>
        <w:spacing w:after="24" w:line="259" w:lineRule="auto"/>
        <w:ind w:left="787" w:firstLine="0"/>
        <w:jc w:val="center"/>
      </w:pPr>
      <w:r>
        <w:t xml:space="preserve"> </w:t>
      </w:r>
    </w:p>
    <w:p w:rsidR="00DD21E2" w:rsidRDefault="0077497B">
      <w:pPr>
        <w:ind w:left="100" w:right="98"/>
      </w:pPr>
      <w:r>
        <w:t>Ответ: смесью веществ, представленной на</w:t>
      </w:r>
      <w:r>
        <w:t xml:space="preserve"> рисунке 1, является бензин, так как смесь «аренов» и «алканов», представленная на хроматограмме используется при расшифровке хроматограмм бензинов разных марок. </w:t>
      </w:r>
    </w:p>
    <w:p w:rsidR="00DD21E2" w:rsidRDefault="0077497B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DD21E2" w:rsidRDefault="0077497B">
      <w:pPr>
        <w:pStyle w:val="1"/>
        <w:ind w:left="612" w:hanging="269"/>
        <w:jc w:val="left"/>
      </w:pPr>
      <w:bookmarkStart w:id="3" w:name="_Toc11782"/>
      <w:r>
        <w:lastRenderedPageBreak/>
        <w:t>Практическое задание 2. Определение момента короткого замыкания оплавлений медных провод</w:t>
      </w:r>
      <w:r>
        <w:t xml:space="preserve">ников методом рентгеноструктурного анализа </w:t>
      </w:r>
      <w:bookmarkEnd w:id="3"/>
    </w:p>
    <w:p w:rsidR="00DD21E2" w:rsidRDefault="0077497B">
      <w:pPr>
        <w:spacing w:after="25" w:line="259" w:lineRule="auto"/>
        <w:ind w:left="787" w:firstLine="0"/>
        <w:jc w:val="center"/>
      </w:pPr>
      <w:r>
        <w:t xml:space="preserve"> </w:t>
      </w:r>
    </w:p>
    <w:p w:rsidR="00DD21E2" w:rsidRDefault="0077497B">
      <w:pPr>
        <w:spacing w:after="23" w:line="259" w:lineRule="auto"/>
        <w:ind w:left="20" w:right="2" w:hanging="10"/>
        <w:jc w:val="center"/>
      </w:pPr>
      <w:r>
        <w:t xml:space="preserve">Сделать вывод о моменте короткого замыкания. </w:t>
      </w:r>
    </w:p>
    <w:p w:rsidR="00DD21E2" w:rsidRDefault="0077497B">
      <w:pPr>
        <w:spacing w:after="23" w:line="259" w:lineRule="auto"/>
        <w:ind w:left="20" w:hanging="10"/>
        <w:jc w:val="center"/>
      </w:pPr>
      <w:r>
        <w:t xml:space="preserve">Условия съемки: </w:t>
      </w:r>
    </w:p>
    <w:p w:rsidR="00DD21E2" w:rsidRDefault="0077497B">
      <w:pPr>
        <w:spacing w:after="23" w:line="259" w:lineRule="auto"/>
        <w:ind w:left="20" w:hanging="10"/>
        <w:jc w:val="center"/>
      </w:pPr>
      <w:r>
        <w:t xml:space="preserve">Тип трубки: 0,15-БСВ-33-Cu </w:t>
      </w:r>
    </w:p>
    <w:p w:rsidR="00DD21E2" w:rsidRDefault="0077497B">
      <w:pPr>
        <w:spacing w:after="23" w:line="259" w:lineRule="auto"/>
        <w:ind w:left="20" w:right="2" w:hanging="10"/>
        <w:jc w:val="center"/>
      </w:pPr>
      <w:r>
        <w:t xml:space="preserve">Бета-фильтр: никелевая фольга 30 мкм </w:t>
      </w:r>
    </w:p>
    <w:p w:rsidR="00DD21E2" w:rsidRDefault="0077497B">
      <w:pPr>
        <w:spacing w:after="23" w:line="259" w:lineRule="auto"/>
        <w:ind w:left="20" w:right="1" w:hanging="10"/>
        <w:jc w:val="center"/>
      </w:pPr>
      <w:r>
        <w:t xml:space="preserve">Щель на детекторе: 0,3 мм </w:t>
      </w:r>
    </w:p>
    <w:p w:rsidR="00DD21E2" w:rsidRDefault="0077497B">
      <w:pPr>
        <w:spacing w:after="23" w:line="259" w:lineRule="auto"/>
        <w:ind w:left="20" w:right="4" w:hanging="10"/>
        <w:jc w:val="center"/>
      </w:pPr>
      <w:r>
        <w:t xml:space="preserve">Детектор СЕС-06: сцинтилляционный с кристаллом CsI </w:t>
      </w:r>
    </w:p>
    <w:p w:rsidR="00DD21E2" w:rsidRDefault="0077497B">
      <w:pPr>
        <w:ind w:left="876" w:right="98" w:firstLine="0"/>
      </w:pPr>
      <w:r>
        <w:t xml:space="preserve">Программное обеспечение «Радиан» - ЗАО «НТЦ Экспертцентр» </w:t>
      </w:r>
    </w:p>
    <w:p w:rsidR="00DD21E2" w:rsidRDefault="0077497B">
      <w:pPr>
        <w:spacing w:after="25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spacing w:after="23" w:line="259" w:lineRule="auto"/>
        <w:ind w:left="20" w:right="1" w:hanging="10"/>
        <w:jc w:val="center"/>
      </w:pPr>
      <w:r>
        <w:t xml:space="preserve">Участок А </w:t>
      </w:r>
    </w:p>
    <w:p w:rsidR="00DD21E2" w:rsidRDefault="0077497B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938202" cy="1641366"/>
            <wp:effectExtent l="0" t="0" r="0" b="0"/>
            <wp:docPr id="931" name="Picture 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8202" cy="164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D21E2" w:rsidRDefault="0077497B">
      <w:pPr>
        <w:spacing w:after="23" w:line="259" w:lineRule="auto"/>
        <w:ind w:left="20" w:right="2" w:hanging="10"/>
        <w:jc w:val="center"/>
      </w:pPr>
      <w:r>
        <w:t xml:space="preserve">Участок В </w:t>
      </w:r>
    </w:p>
    <w:p w:rsidR="00DD21E2" w:rsidRDefault="0077497B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938202" cy="1641366"/>
            <wp:effectExtent l="0" t="0" r="0" b="0"/>
            <wp:docPr id="933" name="Picture 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" name="Picture 9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8202" cy="164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D21E2" w:rsidRDefault="0077497B">
      <w:pPr>
        <w:spacing w:after="25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spacing w:after="23" w:line="259" w:lineRule="auto"/>
        <w:ind w:left="20" w:right="6" w:hanging="10"/>
        <w:jc w:val="center"/>
      </w:pPr>
      <w:r>
        <w:t xml:space="preserve">Результаты обработки рентгеннограмм. </w:t>
      </w:r>
    </w:p>
    <w:tbl>
      <w:tblPr>
        <w:tblStyle w:val="TableGrid"/>
        <w:tblW w:w="9573" w:type="dxa"/>
        <w:tblInd w:w="7" w:type="dxa"/>
        <w:tblCellMar>
          <w:top w:w="7" w:type="dxa"/>
          <w:left w:w="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034"/>
        <w:gridCol w:w="1064"/>
        <w:gridCol w:w="1097"/>
        <w:gridCol w:w="1037"/>
        <w:gridCol w:w="1061"/>
        <w:gridCol w:w="1097"/>
        <w:gridCol w:w="3183"/>
      </w:tblGrid>
      <w:tr w:rsidR="00DD21E2">
        <w:trPr>
          <w:trHeight w:val="288"/>
        </w:trPr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Участок 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1E2" w:rsidRDefault="00DD21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Участок В 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1E2" w:rsidRDefault="0077497B">
            <w:pPr>
              <w:spacing w:after="4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Отношение </w:t>
            </w:r>
          </w:p>
          <w:p w:rsidR="00DD21E2" w:rsidRDefault="0077497B">
            <w:pPr>
              <w:spacing w:after="0" w:line="259" w:lineRule="auto"/>
              <w:ind w:left="82" w:firstLine="0"/>
            </w:pPr>
            <w:r>
              <w:rPr>
                <w:sz w:val="24"/>
              </w:rPr>
              <w:t>(J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Cu)/(J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 xml:space="preserve">Cu) </w:t>
            </w:r>
          </w:p>
        </w:tc>
      </w:tr>
      <w:tr w:rsidR="00DD21E2">
        <w:trPr>
          <w:trHeight w:val="56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1E2" w:rsidRDefault="0077497B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J Cu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1E2" w:rsidRDefault="0077497B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97" w:right="13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Cu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1E2" w:rsidRDefault="0077497B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J Cu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1E2" w:rsidRDefault="0077497B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97" w:right="13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Cu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DD21E2">
            <w:pPr>
              <w:spacing w:after="160" w:line="259" w:lineRule="auto"/>
              <w:ind w:left="0" w:firstLine="0"/>
              <w:jc w:val="left"/>
            </w:pPr>
          </w:p>
        </w:tc>
      </w:tr>
      <w:tr w:rsidR="00DD21E2">
        <w:trPr>
          <w:trHeight w:val="28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1235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21" w:firstLine="0"/>
              <w:jc w:val="center"/>
            </w:pPr>
            <w:r>
              <w:rPr>
                <w:sz w:val="24"/>
              </w:rPr>
              <w:t xml:space="preserve">125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2630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DD21E2" w:rsidRDefault="0077497B">
      <w:pPr>
        <w:spacing w:after="22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823" w:right="98" w:firstLine="0"/>
      </w:pPr>
      <w:r>
        <w:t xml:space="preserve">Решение: </w:t>
      </w:r>
    </w:p>
    <w:p w:rsidR="00DD21E2" w:rsidRDefault="0077497B">
      <w:pPr>
        <w:ind w:left="100" w:right="98"/>
      </w:pPr>
      <w:r>
        <w:t>Проводим вычисления значений отношений JCu</w:t>
      </w:r>
      <w:r>
        <w:rPr>
          <w:vertAlign w:val="subscript"/>
        </w:rPr>
        <w:t>2</w:t>
      </w:r>
      <w:r>
        <w:t xml:space="preserve">O/ JCu на участках А и В и записываем их в таблицу 1. </w:t>
      </w:r>
    </w:p>
    <w:p w:rsidR="00DD21E2" w:rsidRDefault="0077497B">
      <w:pPr>
        <w:ind w:left="100" w:right="98"/>
      </w:pPr>
      <w:r>
        <w:lastRenderedPageBreak/>
        <w:t>После нахождения значений отношений JCu</w:t>
      </w:r>
      <w:r>
        <w:rPr>
          <w:vertAlign w:val="subscript"/>
        </w:rPr>
        <w:t>2</w:t>
      </w:r>
      <w:r>
        <w:t>O/ JCu на участках А и В, находим отношение (J</w:t>
      </w:r>
      <w:r>
        <w:rPr>
          <w:vertAlign w:val="subscript"/>
        </w:rPr>
        <w:t>A</w:t>
      </w:r>
      <w:r>
        <w:t>Cu</w:t>
      </w:r>
      <w:r>
        <w:rPr>
          <w:vertAlign w:val="subscript"/>
        </w:rPr>
        <w:t>2</w:t>
      </w:r>
      <w:r>
        <w:t>O/J</w:t>
      </w:r>
      <w:r>
        <w:rPr>
          <w:vertAlign w:val="subscript"/>
        </w:rPr>
        <w:t>A</w:t>
      </w:r>
      <w:r>
        <w:t>Cu)/(J</w:t>
      </w:r>
      <w:r>
        <w:rPr>
          <w:vertAlign w:val="subscript"/>
        </w:rPr>
        <w:t>B</w:t>
      </w:r>
      <w:r>
        <w:t>Cu</w:t>
      </w:r>
      <w:r>
        <w:rPr>
          <w:vertAlign w:val="subscript"/>
        </w:rPr>
        <w:t>2</w:t>
      </w:r>
      <w:r>
        <w:t>O/J</w:t>
      </w:r>
      <w:r>
        <w:rPr>
          <w:vertAlign w:val="subscript"/>
        </w:rPr>
        <w:t>B</w:t>
      </w:r>
      <w:r>
        <w:t xml:space="preserve">Cu) и также записываем в таблицу 1. </w:t>
      </w:r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2415" w:right="98" w:firstLine="5843"/>
      </w:pPr>
      <w:r>
        <w:t xml:space="preserve">Таблица 1 Результаты обработки рентгеннограмм. </w:t>
      </w:r>
    </w:p>
    <w:tbl>
      <w:tblPr>
        <w:tblStyle w:val="TableGrid"/>
        <w:tblW w:w="9573" w:type="dxa"/>
        <w:tblInd w:w="7" w:type="dxa"/>
        <w:tblCellMar>
          <w:top w:w="9" w:type="dxa"/>
          <w:left w:w="3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029"/>
        <w:gridCol w:w="1059"/>
        <w:gridCol w:w="1092"/>
        <w:gridCol w:w="1030"/>
        <w:gridCol w:w="1059"/>
        <w:gridCol w:w="1121"/>
        <w:gridCol w:w="3183"/>
      </w:tblGrid>
      <w:tr w:rsidR="00DD21E2">
        <w:trPr>
          <w:trHeight w:val="286"/>
        </w:trPr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Участок 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1E2" w:rsidRDefault="00DD21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Участок В 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1E2" w:rsidRDefault="0077497B">
            <w:pPr>
              <w:spacing w:after="4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Отношение </w:t>
            </w:r>
          </w:p>
          <w:p w:rsidR="00DD21E2" w:rsidRDefault="0077497B">
            <w:pPr>
              <w:spacing w:after="0" w:line="259" w:lineRule="auto"/>
              <w:ind w:left="70" w:firstLine="0"/>
            </w:pPr>
            <w:r>
              <w:rPr>
                <w:sz w:val="24"/>
              </w:rPr>
              <w:t>(J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Cu)/(J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 xml:space="preserve">Cu) </w:t>
            </w:r>
          </w:p>
        </w:tc>
      </w:tr>
      <w:tr w:rsidR="00DD21E2">
        <w:trPr>
          <w:trHeight w:val="5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1E2" w:rsidRDefault="0077497B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J Cu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1E2" w:rsidRDefault="0077497B">
            <w:pPr>
              <w:spacing w:after="0" w:line="259" w:lineRule="auto"/>
              <w:ind w:left="146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83" w:right="11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Cu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1E2" w:rsidRDefault="0077497B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J Cu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1E2" w:rsidRDefault="0077497B">
            <w:pPr>
              <w:spacing w:after="0" w:line="259" w:lineRule="auto"/>
              <w:ind w:left="146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97" w:right="25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Cu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DD21E2">
            <w:pPr>
              <w:spacing w:after="160" w:line="259" w:lineRule="auto"/>
              <w:ind w:left="0" w:firstLine="0"/>
              <w:jc w:val="left"/>
            </w:pPr>
          </w:p>
        </w:tc>
      </w:tr>
      <w:tr w:rsidR="00DD21E2"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1235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125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0,1012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2630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0,0057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E2" w:rsidRDefault="0077497B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17,75 </w:t>
            </w:r>
          </w:p>
        </w:tc>
      </w:tr>
    </w:tbl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100" w:right="98"/>
      </w:pPr>
      <w:r>
        <w:t>Из результатов видно, что наблюдается постепенное уменьшение соотношения JCu</w:t>
      </w:r>
      <w:r>
        <w:rPr>
          <w:vertAlign w:val="subscript"/>
        </w:rPr>
        <w:t>2</w:t>
      </w:r>
      <w:r>
        <w:t xml:space="preserve">O/ JCu на разных участках. </w:t>
      </w:r>
    </w:p>
    <w:p w:rsidR="00DD21E2" w:rsidRDefault="0077497B">
      <w:pPr>
        <w:spacing w:after="21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823" w:right="98" w:firstLine="0"/>
      </w:pPr>
      <w:r>
        <w:t xml:space="preserve">Ответ: </w:t>
      </w:r>
    </w:p>
    <w:p w:rsidR="00DD21E2" w:rsidRDefault="0077497B">
      <w:pPr>
        <w:ind w:left="100" w:right="98"/>
      </w:pPr>
      <w:r>
        <w:t xml:space="preserve">На результатах присутствуют признаки локального нагрева в месте контакта, что является одним из признаков, характерных для вторичного </w:t>
      </w:r>
      <w:r>
        <w:t xml:space="preserve">короткого замыкания. </w:t>
      </w:r>
    </w:p>
    <w:p w:rsidR="00DD21E2" w:rsidRDefault="0077497B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:rsidR="00DD21E2" w:rsidRDefault="0077497B">
      <w:pPr>
        <w:pStyle w:val="1"/>
        <w:ind w:left="20" w:right="5"/>
      </w:pPr>
      <w:bookmarkStart w:id="4" w:name="_Toc11783"/>
      <w:r>
        <w:lastRenderedPageBreak/>
        <w:t xml:space="preserve">Заключение </w:t>
      </w:r>
      <w:bookmarkEnd w:id="4"/>
    </w:p>
    <w:p w:rsidR="00DD21E2" w:rsidRDefault="0077497B">
      <w:pPr>
        <w:spacing w:after="25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ind w:left="100" w:right="98"/>
      </w:pPr>
      <w:r>
        <w:t>В ходе данной контрольной работы по дисциплине «Пожарнотехническая экспертиза» были изучены теоретические положения по использованию хроматографических методов в экспертизе пожаров, а именно освоены виды хроматогра</w:t>
      </w:r>
      <w:r>
        <w:t>фии, обнаружение и исследование остатков нефтепродуктов методом ГЖХ и основы подготовки образцов для исследования. Также практическим способом были определены причастности следов короткого замыкания в электроприборах и электросетях к факту возникновения по</w:t>
      </w:r>
      <w:r>
        <w:t xml:space="preserve">жара и выявление смеси веществ с помощью газожидкостной хроматографии. Полученные в ходе решения контрольной работы компетенции помогут в дальнейшей службе в пожарной охране, в частности в исследовательских пожарных лабораториях. </w:t>
      </w:r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</w:p>
    <w:p w:rsidR="00DD21E2" w:rsidRDefault="0077497B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:rsidR="00DD21E2" w:rsidRDefault="0077497B">
      <w:pPr>
        <w:pStyle w:val="1"/>
        <w:ind w:left="20"/>
      </w:pPr>
      <w:bookmarkStart w:id="5" w:name="_Toc11784"/>
      <w:r>
        <w:lastRenderedPageBreak/>
        <w:t>Список использова</w:t>
      </w:r>
      <w:r>
        <w:t xml:space="preserve">нной литературы </w:t>
      </w:r>
      <w:bookmarkEnd w:id="5"/>
    </w:p>
    <w:p w:rsidR="00DD21E2" w:rsidRDefault="0077497B">
      <w:pPr>
        <w:spacing w:after="0" w:line="259" w:lineRule="auto"/>
        <w:ind w:left="823" w:firstLine="0"/>
        <w:jc w:val="left"/>
      </w:pPr>
      <w:r>
        <w:t xml:space="preserve"> </w:t>
      </w:r>
      <w:bookmarkStart w:id="6" w:name="_GoBack"/>
      <w:bookmarkEnd w:id="6"/>
    </w:p>
    <w:sectPr w:rsidR="00DD21E2">
      <w:headerReference w:type="even" r:id="rId11"/>
      <w:headerReference w:type="default" r:id="rId12"/>
      <w:headerReference w:type="first" r:id="rId13"/>
      <w:pgSz w:w="11906" w:h="16838"/>
      <w:pgMar w:top="1036" w:right="743" w:bottom="1221" w:left="158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97B" w:rsidRDefault="0077497B">
      <w:pPr>
        <w:spacing w:after="0" w:line="240" w:lineRule="auto"/>
      </w:pPr>
      <w:r>
        <w:separator/>
      </w:r>
    </w:p>
  </w:endnote>
  <w:endnote w:type="continuationSeparator" w:id="0">
    <w:p w:rsidR="0077497B" w:rsidRDefault="0077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97B" w:rsidRDefault="0077497B">
      <w:pPr>
        <w:spacing w:after="0" w:line="240" w:lineRule="auto"/>
      </w:pPr>
      <w:r>
        <w:separator/>
      </w:r>
    </w:p>
  </w:footnote>
  <w:footnote w:type="continuationSeparator" w:id="0">
    <w:p w:rsidR="0077497B" w:rsidRDefault="0077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E2" w:rsidRDefault="0077497B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DD21E2" w:rsidRDefault="0077497B">
    <w:pPr>
      <w:spacing w:after="0" w:line="259" w:lineRule="auto"/>
      <w:ind w:left="823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E2" w:rsidRDefault="0077497B">
    <w:pPr>
      <w:spacing w:after="0" w:line="259" w:lineRule="auto"/>
      <w:ind w:lef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6F0E">
      <w:rPr>
        <w:noProof/>
      </w:rPr>
      <w:t>8</w:t>
    </w:r>
    <w:r>
      <w:fldChar w:fldCharType="end"/>
    </w:r>
    <w:r>
      <w:t xml:space="preserve"> </w:t>
    </w:r>
  </w:p>
  <w:p w:rsidR="00DD21E2" w:rsidRDefault="0077497B">
    <w:pPr>
      <w:spacing w:after="0" w:line="259" w:lineRule="auto"/>
      <w:ind w:left="823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E2" w:rsidRDefault="00DD21E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D7BA3"/>
    <w:multiLevelType w:val="hybridMultilevel"/>
    <w:tmpl w:val="EB1C2EDA"/>
    <w:lvl w:ilvl="0" w:tplc="CC00ACBE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EA04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D2D1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7C8F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402F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8A294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878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B417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B69E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8216CF"/>
    <w:multiLevelType w:val="hybridMultilevel"/>
    <w:tmpl w:val="4EBA8802"/>
    <w:lvl w:ilvl="0" w:tplc="22B4A03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D687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80A6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3ED5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8CD2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AD4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E24A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9203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DE35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E2"/>
    <w:rsid w:val="0077497B"/>
    <w:rsid w:val="00A76F0E"/>
    <w:rsid w:val="00D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D44E"/>
  <w15:docId w15:val="{79C6FB31-0A6A-4228-8AF2-588FC113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1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9" w:lineRule="auto"/>
      <w:ind w:left="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9" w:lineRule="auto"/>
      <w:ind w:left="1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81" w:line="268" w:lineRule="auto"/>
      <w:ind w:left="130" w:right="11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BlackBrother</dc:creator>
  <cp:keywords/>
  <cp:lastModifiedBy>Вован</cp:lastModifiedBy>
  <cp:revision>2</cp:revision>
  <dcterms:created xsi:type="dcterms:W3CDTF">2019-03-14T11:09:00Z</dcterms:created>
  <dcterms:modified xsi:type="dcterms:W3CDTF">2019-03-14T11:09:00Z</dcterms:modified>
</cp:coreProperties>
</file>